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CD11" w14:textId="77777777" w:rsidR="00D31958" w:rsidRDefault="00D31958" w:rsidP="00E0170F">
      <w:pPr>
        <w:pStyle w:val="Heading1"/>
        <w:spacing w:line="360" w:lineRule="auto"/>
      </w:pPr>
      <w:r>
        <w:t>What is student engagement – information sheet</w:t>
      </w:r>
    </w:p>
    <w:p w14:paraId="4AD0C191" w14:textId="77777777" w:rsidR="00D31958" w:rsidRPr="002E3BD1" w:rsidRDefault="00D31958" w:rsidP="00D31958">
      <w:pPr>
        <w:rPr>
          <w:rFonts w:ascii="Arial" w:hAnsi="Arial" w:cs="Arial"/>
        </w:rPr>
      </w:pPr>
      <w:r w:rsidRPr="002E3BD1">
        <w:rPr>
          <w:rFonts w:ascii="Arial" w:hAnsi="Arial" w:cs="Arial"/>
        </w:rPr>
        <w:t>Student engagement is challenging to define as it is a complex construct influenced by m</w:t>
      </w:r>
      <w:r>
        <w:rPr>
          <w:rFonts w:ascii="Arial" w:hAnsi="Arial" w:cs="Arial"/>
        </w:rPr>
        <w:t>ultiple factors.</w:t>
      </w:r>
    </w:p>
    <w:p w14:paraId="459EC0F3" w14:textId="77777777" w:rsidR="00D31958" w:rsidRPr="002E3BD1" w:rsidRDefault="00D31958" w:rsidP="00D31958">
      <w:pPr>
        <w:rPr>
          <w:rFonts w:ascii="Arial" w:hAnsi="Arial" w:cs="Arial"/>
        </w:rPr>
      </w:pPr>
      <w:r w:rsidRPr="002E3BD1">
        <w:rPr>
          <w:rFonts w:ascii="Arial" w:hAnsi="Arial" w:cs="Arial"/>
        </w:rPr>
        <w:t>Fredericks, Blumenfeld and Paris (2004) identify three dimensions of engagement:</w:t>
      </w:r>
    </w:p>
    <w:p w14:paraId="765D0BFB" w14:textId="77777777" w:rsidR="00D31958" w:rsidRPr="002E3BD1" w:rsidRDefault="00D31958" w:rsidP="00D319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behavioural engagement</w:t>
      </w:r>
      <w:r w:rsidRPr="002E3BD1">
        <w:rPr>
          <w:rFonts w:ascii="Arial" w:hAnsi="Arial" w:cs="Arial"/>
        </w:rPr>
        <w:t>: students’ participation in education, including the academic, social and extracurricular activities of the school</w:t>
      </w:r>
    </w:p>
    <w:p w14:paraId="6AA196FD" w14:textId="77777777" w:rsidR="00D31958" w:rsidRPr="002E3BD1" w:rsidRDefault="00D31958" w:rsidP="00D319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emotional engagement</w:t>
      </w:r>
      <w:r w:rsidRPr="002E3BD1">
        <w:rPr>
          <w:rFonts w:ascii="Arial" w:hAnsi="Arial" w:cs="Arial"/>
        </w:rPr>
        <w:t>: students’ emotional reactions in the classroom and in the school (a sense of belonging or connectedness to the school)</w:t>
      </w:r>
    </w:p>
    <w:p w14:paraId="542A5D06" w14:textId="77777777" w:rsidR="00D31958" w:rsidRDefault="00D31958" w:rsidP="00D319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cognitive engagement</w:t>
      </w:r>
      <w:r w:rsidRPr="002E3BD1">
        <w:rPr>
          <w:rFonts w:ascii="Arial" w:hAnsi="Arial" w:cs="Arial"/>
        </w:rPr>
        <w:t>: students’ investment in their learning (motivation and self-regulation).</w:t>
      </w:r>
    </w:p>
    <w:p w14:paraId="783F8558" w14:textId="77777777" w:rsidR="00D31958" w:rsidRDefault="005E0CB7" w:rsidP="00D3195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3552010F" wp14:editId="25FF7D2F">
            <wp:extent cx="400050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dimensionalconstruc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7CD3" w14:textId="77777777" w:rsidR="00D31958" w:rsidRDefault="00D31958" w:rsidP="00D31958">
      <w:pPr>
        <w:pStyle w:val="Heading2"/>
      </w:pPr>
      <w:r>
        <w:t>Factors that influence engagement</w:t>
      </w:r>
    </w:p>
    <w:p w14:paraId="60208E3B" w14:textId="77777777" w:rsidR="00D31958" w:rsidRPr="002E3BD1" w:rsidRDefault="00D31958" w:rsidP="00D31958">
      <w:pPr>
        <w:rPr>
          <w:rFonts w:ascii="Arial" w:hAnsi="Arial" w:cs="Arial"/>
        </w:rPr>
      </w:pPr>
      <w:r w:rsidRPr="002E3BD1">
        <w:rPr>
          <w:rFonts w:ascii="Arial" w:hAnsi="Arial" w:cs="Arial"/>
        </w:rPr>
        <w:t>Some of the factors that influence student engagement at school are:</w:t>
      </w:r>
    </w:p>
    <w:p w14:paraId="5BFD56A2" w14:textId="77777777" w:rsidR="00D31958" w:rsidRPr="002E3BD1" w:rsidRDefault="00D31958" w:rsidP="00D319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Teacher factors</w:t>
      </w:r>
      <w:r w:rsidRPr="002E3BD1">
        <w:rPr>
          <w:rFonts w:ascii="Arial" w:hAnsi="Arial" w:cs="Arial"/>
        </w:rPr>
        <w:t>: teacher interaction style (enjoyment and shared focus, support, responsiveness, directiveness, verbal praise), behavioural and academic expectations held</w:t>
      </w:r>
    </w:p>
    <w:p w14:paraId="20F15F98" w14:textId="77777777" w:rsidR="00D31958" w:rsidRPr="002E3BD1" w:rsidRDefault="00D31958" w:rsidP="00D319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School factors</w:t>
      </w:r>
      <w:r w:rsidRPr="002E3BD1">
        <w:rPr>
          <w:rFonts w:ascii="Arial" w:hAnsi="Arial" w:cs="Arial"/>
        </w:rPr>
        <w:t>: includes physical setting factors (physical layout and arrangement of classroom, sensory factors/noise levels, lighting etc), and consistent and structured approaches to the provision of student support and disciplinary measures</w:t>
      </w:r>
    </w:p>
    <w:p w14:paraId="66ECFC6B" w14:textId="77777777" w:rsidR="00D31958" w:rsidRPr="002E3BD1" w:rsidRDefault="00D31958" w:rsidP="00D319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Student factors</w:t>
      </w:r>
      <w:r w:rsidRPr="002E3BD1">
        <w:rPr>
          <w:rFonts w:ascii="Arial" w:hAnsi="Arial" w:cs="Arial"/>
        </w:rPr>
        <w:t>: a student’s physical, emotional, cognitive and behavioural state, including health issues and disability, peer relationships</w:t>
      </w:r>
    </w:p>
    <w:p w14:paraId="2C9C8989" w14:textId="77777777" w:rsidR="00D31958" w:rsidRPr="002E3BD1" w:rsidRDefault="00D31958" w:rsidP="00D319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Family and community factors</w:t>
      </w:r>
      <w:r w:rsidRPr="002E3BD1">
        <w:rPr>
          <w:rFonts w:ascii="Arial" w:hAnsi="Arial" w:cs="Arial"/>
        </w:rPr>
        <w:t>: a student's residential circumstances, family support for/involvement in education, and relationships with their family</w:t>
      </w:r>
    </w:p>
    <w:p w14:paraId="0C551F7E" w14:textId="77777777" w:rsidR="00D31958" w:rsidRDefault="00D31958" w:rsidP="00D319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Curriculum and resources factors</w:t>
      </w:r>
      <w:r w:rsidRPr="002E3BD1">
        <w:rPr>
          <w:rFonts w:ascii="Arial" w:hAnsi="Arial" w:cs="Arial"/>
        </w:rPr>
        <w:t>: availability and type of learning resources including technology, dimensions of the learning tasks (level of difficulty, interest, meaningfulness to learner), task design, learning goals and objectives, and assessment approaches.</w:t>
      </w:r>
    </w:p>
    <w:p w14:paraId="38A5ECA1" w14:textId="77777777" w:rsidR="00D31958" w:rsidRDefault="00D31958" w:rsidP="00D31958">
      <w:pPr>
        <w:pStyle w:val="Heading2"/>
      </w:pPr>
      <w:r>
        <w:t>Supporting the ‘whole’ student</w:t>
      </w:r>
    </w:p>
    <w:p w14:paraId="5073BDBF" w14:textId="77777777" w:rsidR="00D31958" w:rsidRPr="002E3BD1" w:rsidRDefault="00D31958" w:rsidP="00D31958">
      <w:pPr>
        <w:rPr>
          <w:rFonts w:ascii="Arial" w:hAnsi="Arial" w:cs="Arial"/>
        </w:rPr>
      </w:pPr>
      <w:r w:rsidRPr="002E3BD1">
        <w:rPr>
          <w:rFonts w:ascii="Arial" w:hAnsi="Arial" w:cs="Arial"/>
        </w:rPr>
        <w:t>The five dimensions of health and wellbeing represented below offer schools another, holistic way for schools to consider student engagement.</w:t>
      </w:r>
    </w:p>
    <w:p w14:paraId="03431963" w14:textId="77777777" w:rsidR="00D31958" w:rsidRPr="002E3BD1" w:rsidRDefault="005E0CB7" w:rsidP="00D3195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lastRenderedPageBreak/>
        <w:drawing>
          <wp:anchor distT="0" distB="0" distL="114300" distR="114300" simplePos="0" relativeHeight="251658240" behindDoc="1" locked="0" layoutInCell="1" allowOverlap="1" wp14:anchorId="55723AA8" wp14:editId="38FF561E">
            <wp:simplePos x="0" y="0"/>
            <wp:positionH relativeFrom="column">
              <wp:posOffset>2923540</wp:posOffset>
            </wp:positionH>
            <wp:positionV relativeFrom="paragraph">
              <wp:posOffset>0</wp:posOffset>
            </wp:positionV>
            <wp:extent cx="2708275" cy="2708275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vedimensionpers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8" w:rsidRPr="002E3BD1">
        <w:rPr>
          <w:rFonts w:ascii="Arial" w:hAnsi="Arial" w:cs="Arial"/>
          <w:b/>
        </w:rPr>
        <w:t>Engagement in learning</w:t>
      </w:r>
      <w:r w:rsidR="00D31958" w:rsidRPr="002E3BD1">
        <w:rPr>
          <w:rFonts w:ascii="Arial" w:hAnsi="Arial" w:cs="Arial"/>
        </w:rPr>
        <w:t xml:space="preserve"> – includes active participation and engagement in learning, having functional skills to participate meaningfully in all aspects of one’s life; being competent as a learner and problem-solver; and having a sense of meaning.</w:t>
      </w:r>
    </w:p>
    <w:p w14:paraId="4031AC01" w14:textId="77777777" w:rsidR="00D31958" w:rsidRPr="002E3BD1" w:rsidRDefault="00D31958" w:rsidP="00D3195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Social and emotional wellbeing</w:t>
      </w:r>
      <w:r w:rsidRPr="002E3BD1">
        <w:rPr>
          <w:rFonts w:ascii="Arial" w:hAnsi="Arial" w:cs="Arial"/>
        </w:rPr>
        <w:t xml:space="preserve"> – includes positive mental health / absence of mental health problems; self-awareness; emotional intelligence; self-regulation; resilience; interpreting the world positively; pro-social values and behaviour. </w:t>
      </w:r>
    </w:p>
    <w:p w14:paraId="4CA06F51" w14:textId="77777777" w:rsidR="00D31958" w:rsidRPr="002E3BD1" w:rsidRDefault="00D31958" w:rsidP="00D3195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Supportive relationships</w:t>
      </w:r>
      <w:r w:rsidRPr="002E3BD1">
        <w:rPr>
          <w:rFonts w:ascii="Arial" w:hAnsi="Arial" w:cs="Arial"/>
        </w:rPr>
        <w:t xml:space="preserve"> – includes having positive family bonds and friendship, ability to rely on a trusted adult, experiencing a sense of belonging, and engagement / involvement in age appropriate learning and activity.</w:t>
      </w:r>
    </w:p>
    <w:p w14:paraId="41DB55CF" w14:textId="77777777" w:rsidR="00D31958" w:rsidRPr="002E3BD1" w:rsidRDefault="00D31958" w:rsidP="00D3195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Physical health</w:t>
      </w:r>
      <w:r w:rsidRPr="002E3BD1">
        <w:rPr>
          <w:rFonts w:ascii="Arial" w:hAnsi="Arial" w:cs="Arial"/>
        </w:rPr>
        <w:t xml:space="preserve"> – includes physical health / absence of health problems; oral health; nutrition and weight; physical fitness; and self-management including sleeping.</w:t>
      </w:r>
    </w:p>
    <w:p w14:paraId="1677C8CF" w14:textId="77777777" w:rsidR="00D31958" w:rsidRDefault="00D31958" w:rsidP="00D3195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E3BD1">
        <w:rPr>
          <w:rFonts w:ascii="Arial" w:hAnsi="Arial" w:cs="Arial"/>
          <w:b/>
        </w:rPr>
        <w:t>Safety and material wellbeing</w:t>
      </w:r>
      <w:r w:rsidRPr="002E3BD1">
        <w:rPr>
          <w:rFonts w:ascii="Arial" w:hAnsi="Arial" w:cs="Arial"/>
        </w:rPr>
        <w:t xml:space="preserve"> – includes sense of safety at home and school, being safe from injury and harm, having access to daily essentials and adequate and stable housing.</w:t>
      </w:r>
    </w:p>
    <w:p w14:paraId="0C5F622D" w14:textId="77777777" w:rsidR="00D31958" w:rsidRDefault="00D31958" w:rsidP="00D31958">
      <w:pPr>
        <w:rPr>
          <w:rFonts w:ascii="Arial" w:hAnsi="Arial" w:cs="Arial"/>
        </w:rPr>
      </w:pPr>
      <w:r w:rsidRPr="002E3BD1">
        <w:rPr>
          <w:rFonts w:ascii="Arial" w:hAnsi="Arial" w:cs="Arial"/>
        </w:rPr>
        <w:t xml:space="preserve">Adapted from The Australian Research Alliance for Children and Youth (ARACY) “Common Approach to Assessment, Referral and Support” wheel 2013 and Moore, T., McDonald, M., </w:t>
      </w:r>
      <w:proofErr w:type="spellStart"/>
      <w:r w:rsidRPr="002E3BD1">
        <w:rPr>
          <w:rFonts w:ascii="Arial" w:hAnsi="Arial" w:cs="Arial"/>
        </w:rPr>
        <w:t>Tollit</w:t>
      </w:r>
      <w:proofErr w:type="spellEnd"/>
      <w:r w:rsidRPr="002E3BD1">
        <w:rPr>
          <w:rFonts w:ascii="Arial" w:hAnsi="Arial" w:cs="Arial"/>
        </w:rPr>
        <w:t xml:space="preserve">, M., &amp; Bennett, K., “Children and young people’s health and wellbeing in educational settings: A review of the evidence” Murdoch </w:t>
      </w:r>
      <w:proofErr w:type="spellStart"/>
      <w:r w:rsidRPr="002E3BD1">
        <w:rPr>
          <w:rFonts w:ascii="Arial" w:hAnsi="Arial" w:cs="Arial"/>
        </w:rPr>
        <w:t>Childrens</w:t>
      </w:r>
      <w:proofErr w:type="spellEnd"/>
      <w:r w:rsidRPr="002E3BD1">
        <w:rPr>
          <w:rFonts w:ascii="Arial" w:hAnsi="Arial" w:cs="Arial"/>
        </w:rPr>
        <w:t xml:space="preserve"> Research Institute, 2013.</w:t>
      </w:r>
    </w:p>
    <w:p w14:paraId="42461BEF" w14:textId="77777777" w:rsidR="00646A1A" w:rsidRDefault="00646A1A" w:rsidP="00646A1A">
      <w:pPr>
        <w:pStyle w:val="Heading2"/>
      </w:pPr>
      <w:r>
        <w:t>Further reading</w:t>
      </w:r>
    </w:p>
    <w:p w14:paraId="16AA7386" w14:textId="77777777" w:rsidR="00646A1A" w:rsidRPr="002E3BD1" w:rsidRDefault="00646A1A" w:rsidP="00646A1A">
      <w:pPr>
        <w:rPr>
          <w:rFonts w:ascii="Arial" w:hAnsi="Arial" w:cs="Arial"/>
        </w:rPr>
      </w:pPr>
      <w:r w:rsidRPr="002E3BD1">
        <w:rPr>
          <w:rFonts w:ascii="Arial" w:hAnsi="Arial" w:cs="Arial"/>
        </w:rPr>
        <w:t>Fredericks, J. A., Blumenfeld, P. C. &amp; Paris, A. H. (2004). School engagement: potential of the concept, state of the evidence. Review of Educational Research, 74, 59-109.</w:t>
      </w:r>
    </w:p>
    <w:p w14:paraId="241E8B09" w14:textId="77777777" w:rsidR="00646A1A" w:rsidRPr="002E3BD1" w:rsidRDefault="00646A1A" w:rsidP="00646A1A">
      <w:pPr>
        <w:rPr>
          <w:rFonts w:ascii="Arial" w:hAnsi="Arial" w:cs="Arial"/>
        </w:rPr>
      </w:pPr>
      <w:r w:rsidRPr="002E3BD1">
        <w:rPr>
          <w:rFonts w:ascii="Arial" w:hAnsi="Arial" w:cs="Arial"/>
        </w:rPr>
        <w:t>McDonald, T. (2010). Classroom Management: Engaging Students in Learning.  South Melbourne, VIC:  Oxford University Press.</w:t>
      </w:r>
    </w:p>
    <w:p w14:paraId="42C8AA51" w14:textId="77777777" w:rsidR="00646A1A" w:rsidRDefault="00646A1A" w:rsidP="00646A1A">
      <w:pPr>
        <w:rPr>
          <w:rFonts w:ascii="Arial" w:hAnsi="Arial" w:cs="Arial"/>
        </w:rPr>
      </w:pPr>
      <w:r w:rsidRPr="002E3BD1">
        <w:rPr>
          <w:rFonts w:ascii="Arial" w:hAnsi="Arial" w:cs="Arial"/>
        </w:rPr>
        <w:t>Parsons, J. &amp; Taylor, L. (2011). Student Engagement: What do we know and what should we do? AISI University Partners, Edmonton: Alberta Education. ​​</w:t>
      </w:r>
    </w:p>
    <w:p w14:paraId="273ABB4C" w14:textId="77777777" w:rsidR="00646A1A" w:rsidRDefault="00646A1A" w:rsidP="00D31958">
      <w:pPr>
        <w:rPr>
          <w:rFonts w:ascii="Arial" w:hAnsi="Arial" w:cs="Arial"/>
        </w:rPr>
      </w:pPr>
    </w:p>
    <w:p w14:paraId="13300C3B" w14:textId="77777777" w:rsidR="00E21D4B" w:rsidRDefault="00E21D4B"/>
    <w:sectPr w:rsidR="00E6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B33"/>
    <w:multiLevelType w:val="hybridMultilevel"/>
    <w:tmpl w:val="F35CB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7757"/>
    <w:multiLevelType w:val="hybridMultilevel"/>
    <w:tmpl w:val="44887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3E9A"/>
    <w:multiLevelType w:val="hybridMultilevel"/>
    <w:tmpl w:val="CAB88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1605">
    <w:abstractNumId w:val="0"/>
  </w:num>
  <w:num w:numId="2" w16cid:durableId="1101298578">
    <w:abstractNumId w:val="1"/>
  </w:num>
  <w:num w:numId="3" w16cid:durableId="102466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58"/>
    <w:rsid w:val="002B0866"/>
    <w:rsid w:val="003B494F"/>
    <w:rsid w:val="00423198"/>
    <w:rsid w:val="005E0CB7"/>
    <w:rsid w:val="00616924"/>
    <w:rsid w:val="00642124"/>
    <w:rsid w:val="00646A1A"/>
    <w:rsid w:val="00A768F9"/>
    <w:rsid w:val="00A93952"/>
    <w:rsid w:val="00D31958"/>
    <w:rsid w:val="00E0170F"/>
    <w:rsid w:val="00E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DAE7"/>
  <w15:chartTrackingRefBased/>
  <w15:docId w15:val="{1BC98533-9EBD-49F2-9AA1-AAE2DF45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58"/>
  </w:style>
  <w:style w:type="paragraph" w:styleId="Heading1">
    <w:name w:val="heading 1"/>
    <w:basedOn w:val="Normal"/>
    <w:next w:val="Normal"/>
    <w:link w:val="Heading1Char"/>
    <w:uiPriority w:val="9"/>
    <w:qFormat/>
    <w:rsid w:val="00D31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19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1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9" ma:contentTypeDescription="Create a new document." ma:contentTypeScope="" ma:versionID="733cd2007bc950f4d69fbc509c72e9cd">
  <xsd:schema xmlns:xsd="http://www.w3.org/2001/XMLSchema" xmlns:xs="http://www.w3.org/2001/XMLSchema" xmlns:p="http://schemas.microsoft.com/office/2006/metadata/properties" xmlns:ns3="c10f4a48-0b78-43ad-8a22-6707c806cbc3" targetNamespace="http://schemas.microsoft.com/office/2006/metadata/properties" ma:root="true" ma:fieldsID="f94ef6c4cda8228ca806572cf8adc94c" ns3:_="">
    <xsd:import namespace="c10f4a48-0b78-43ad-8a22-6707c806c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584A4-868C-438D-A44B-B8BB85D2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6A3DF-6EA6-4F63-B053-2913D64D1A7D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0f4a48-0b78-43ad-8a22-6707c806cbc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4B30AA-08AE-4489-932F-E5F29809C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Canobi, Sally S</dc:creator>
  <cp:keywords/>
  <dc:description/>
  <cp:lastModifiedBy>Courtney Doyle</cp:lastModifiedBy>
  <cp:revision>2</cp:revision>
  <dcterms:created xsi:type="dcterms:W3CDTF">2026-05-21T01:57:00Z</dcterms:created>
  <dcterms:modified xsi:type="dcterms:W3CDTF">2026-05-21T01:57:00Z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0x0101006EF7DFD52E2E9449A1370DA227C51617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{03dc8113-b288-4f44-a289-6e7ea0196235}</vt:lpwstr>
  </property>
  <property fmtid="{D5CDD505-2E9C-101B-9397-08002B2CF9AE}" pid="8" name="RecordPoint_ActiveItemListId">
    <vt:lpwstr>{24974aca-80c5-4740-998b-90e87f335302}</vt:lpwstr>
  </property>
  <property fmtid="{D5CDD505-2E9C-101B-9397-08002B2CF9AE}" pid="9" name="RecordPoint_ActiveItemUniqueId">
    <vt:lpwstr>{97dc9ebf-b4e7-407b-974f-05d97ffbf7b1}</vt:lpwstr>
  </property>
  <property fmtid="{D5CDD505-2E9C-101B-9397-08002B2CF9AE}" pid="10" name="RecordPoint_ActiveItemWebId">
    <vt:lpwstr>{e0950a65-9c9d-45b8-a42c-b35c0d524b87}</vt:lpwstr>
  </property>
  <property fmtid="{D5CDD505-2E9C-101B-9397-08002B2CF9AE}" pid="11" name="RecordPoint_RecordNumberSubmitted">
    <vt:lpwstr>R20190780176</vt:lpwstr>
  </property>
  <property fmtid="{D5CDD505-2E9C-101B-9397-08002B2CF9AE}" pid="12" name="RecordPoint_SubmissionCompleted">
    <vt:lpwstr>2020-01-14T14:43:10.4449987+11:00</vt:lpwstr>
  </property>
</Properties>
</file>